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D1A5" w14:textId="6FBF3D51" w:rsidR="00C55EE3" w:rsidRPr="00C55EE3" w:rsidRDefault="00C55EE3" w:rsidP="00C55EE3">
      <w:pPr>
        <w:shd w:val="clear" w:color="auto" w:fill="FFFFFF"/>
        <w:spacing w:before="100" w:beforeAutospacing="1"/>
        <w:outlineLvl w:val="0"/>
        <w:rPr>
          <w:rFonts w:ascii="Arial" w:eastAsia="Times New Roman" w:hAnsi="Arial" w:cs="Times New Roman"/>
          <w:b/>
          <w:bCs/>
          <w:color w:val="0F1A2F"/>
          <w:kern w:val="36"/>
          <w:sz w:val="48"/>
          <w:szCs w:val="48"/>
          <w:lang w:eastAsia="es-ES_tradnl"/>
        </w:rPr>
      </w:pPr>
      <w:r w:rsidRPr="00C55EE3">
        <w:rPr>
          <w:rFonts w:ascii="Arial" w:eastAsia="Times New Roman" w:hAnsi="Arial" w:cs="Times New Roman"/>
          <w:b/>
          <w:bCs/>
          <w:color w:val="0F1A2F"/>
          <w:kern w:val="36"/>
          <w:sz w:val="48"/>
          <w:szCs w:val="48"/>
          <w:highlight w:val="yellow"/>
          <w:lang w:eastAsia="es-ES_tradnl"/>
        </w:rPr>
        <w:t xml:space="preserve">Reglas locales de </w:t>
      </w:r>
      <w:r w:rsidRPr="00C55EE3">
        <w:rPr>
          <w:rFonts w:ascii="Arial" w:eastAsia="Times New Roman" w:hAnsi="Arial" w:cs="Times New Roman"/>
          <w:b/>
          <w:bCs/>
          <w:color w:val="0F1A2F"/>
          <w:kern w:val="36"/>
          <w:sz w:val="48"/>
          <w:szCs w:val="48"/>
          <w:highlight w:val="yellow"/>
          <w:lang w:eastAsia="es-ES_tradnl"/>
        </w:rPr>
        <w:t>La Galera</w:t>
      </w:r>
    </w:p>
    <w:p w14:paraId="361F856D" w14:textId="109832C6" w:rsidR="00C55EE3" w:rsidRPr="00C55EE3" w:rsidRDefault="00C55EE3" w:rsidP="00C55EE3">
      <w:pPr>
        <w:shd w:val="clear" w:color="auto" w:fill="FFFFFF"/>
        <w:jc w:val="center"/>
        <w:textAlignment w:val="top"/>
        <w:rPr>
          <w:rFonts w:ascii="Arial" w:eastAsia="Times New Roman" w:hAnsi="Arial" w:cs="Times New Roman"/>
          <w:color w:val="0F1A2F"/>
          <w:lang w:eastAsia="es-ES_tradnl"/>
        </w:rPr>
      </w:pPr>
    </w:p>
    <w:p w14:paraId="724E824F" w14:textId="77777777" w:rsidR="00C55EE3" w:rsidRPr="00C55EE3" w:rsidRDefault="00C55EE3" w:rsidP="00C55EE3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Times New Roman"/>
          <w:b/>
          <w:bCs/>
          <w:color w:val="0F1A2F"/>
          <w:sz w:val="36"/>
          <w:szCs w:val="36"/>
          <w:lang w:eastAsia="es-ES_tradnl"/>
        </w:rPr>
      </w:pPr>
      <w:r w:rsidRPr="00C55EE3">
        <w:rPr>
          <w:rFonts w:ascii="Arial" w:eastAsia="Times New Roman" w:hAnsi="Arial" w:cs="Times New Roman"/>
          <w:b/>
          <w:bCs/>
          <w:color w:val="0F1A2F"/>
          <w:sz w:val="36"/>
          <w:szCs w:val="36"/>
          <w:lang w:eastAsia="es-ES_tradnl"/>
        </w:rPr>
        <w:t>1.-Fuera de Límites (Regla 18.2)</w:t>
      </w:r>
    </w:p>
    <w:p w14:paraId="48E9F720" w14:textId="77777777" w:rsidR="00C55EE3" w:rsidRPr="00C55EE3" w:rsidRDefault="00C55EE3" w:rsidP="00C55EE3">
      <w:pPr>
        <w:shd w:val="clear" w:color="auto" w:fill="FFFFFF"/>
        <w:spacing w:after="100" w:afterAutospacing="1"/>
        <w:jc w:val="both"/>
        <w:rPr>
          <w:rFonts w:ascii="Arial" w:eastAsia="Times New Roman" w:hAnsi="Arial" w:cs="Times New Roman"/>
          <w:color w:val="0F1A2F"/>
          <w:lang w:eastAsia="es-ES_tradnl"/>
        </w:rPr>
      </w:pPr>
      <w:r w:rsidRPr="00C55EE3">
        <w:rPr>
          <w:rFonts w:ascii="Arial" w:eastAsia="Times New Roman" w:hAnsi="Arial" w:cs="Times New Roman"/>
          <w:color w:val="0F1A2F"/>
          <w:lang w:eastAsia="es-ES_tradnl"/>
        </w:rPr>
        <w:t>Más allá de cualquier valla, postes galvanizados, estacas o líneas blancas que definan el límite del campo.</w:t>
      </w:r>
    </w:p>
    <w:p w14:paraId="52BA6C27" w14:textId="77777777" w:rsidR="00C55EE3" w:rsidRPr="00C55EE3" w:rsidRDefault="00C55EE3" w:rsidP="00C55EE3">
      <w:pPr>
        <w:shd w:val="clear" w:color="auto" w:fill="FFFFFF"/>
        <w:spacing w:after="100" w:afterAutospacing="1"/>
        <w:jc w:val="both"/>
        <w:rPr>
          <w:rFonts w:ascii="Arial" w:eastAsia="Times New Roman" w:hAnsi="Arial" w:cs="Times New Roman"/>
          <w:color w:val="0F1A2F"/>
          <w:lang w:eastAsia="es-ES_tradnl"/>
        </w:rPr>
      </w:pPr>
      <w:r w:rsidRPr="00C55EE3">
        <w:rPr>
          <w:rFonts w:ascii="Arial" w:eastAsia="Times New Roman" w:hAnsi="Arial" w:cs="Times New Roman"/>
          <w:color w:val="0F1A2F"/>
          <w:lang w:eastAsia="es-ES_tradnl"/>
        </w:rPr>
        <w:t>Además, existen los siguientes fueras de límites internos:</w:t>
      </w:r>
    </w:p>
    <w:p w14:paraId="54D3F2BA" w14:textId="77777777" w:rsidR="00C55EE3" w:rsidRPr="00C55EE3" w:rsidRDefault="00C55EE3" w:rsidP="00C55EE3">
      <w:pPr>
        <w:numPr>
          <w:ilvl w:val="0"/>
          <w:numId w:val="1"/>
        </w:numPr>
        <w:ind w:left="495"/>
        <w:jc w:val="both"/>
        <w:textAlignment w:val="baseline"/>
        <w:rPr>
          <w:rFonts w:ascii="Arial" w:eastAsia="Times New Roman" w:hAnsi="Arial" w:cs="Times New Roman"/>
          <w:color w:val="0F1A2F"/>
          <w:lang w:eastAsia="es-ES_tradnl"/>
        </w:rPr>
      </w:pPr>
      <w:r w:rsidRPr="00C55EE3">
        <w:rPr>
          <w:rFonts w:ascii="Arial" w:eastAsia="Times New Roman" w:hAnsi="Arial" w:cs="Times New Roman"/>
          <w:color w:val="0F1A2F"/>
          <w:lang w:eastAsia="es-ES_tradnl"/>
        </w:rPr>
        <w:t>Durante el juego del hoyo 1, a la derecha de dicho hoyo, identificado por líneas o estacas blancas. Una bola está fuera de límites cuando reposa antes de la línea recta que unen los dos pinos cuyos troncos se encuentran pintados de color blanco y situados a la derecha del hoyo 1 y a la izquierda del hoyo 5.</w:t>
      </w:r>
    </w:p>
    <w:p w14:paraId="6213AC40" w14:textId="77777777" w:rsidR="00C55EE3" w:rsidRPr="00C55EE3" w:rsidRDefault="00C55EE3" w:rsidP="00C55EE3">
      <w:pPr>
        <w:numPr>
          <w:ilvl w:val="0"/>
          <w:numId w:val="1"/>
        </w:numPr>
        <w:ind w:left="495"/>
        <w:jc w:val="both"/>
        <w:textAlignment w:val="baseline"/>
        <w:rPr>
          <w:rFonts w:ascii="Arial" w:eastAsia="Times New Roman" w:hAnsi="Arial" w:cs="Times New Roman"/>
          <w:color w:val="0F1A2F"/>
          <w:lang w:eastAsia="es-ES_tradnl"/>
        </w:rPr>
      </w:pPr>
      <w:r w:rsidRPr="00C55EE3">
        <w:rPr>
          <w:rFonts w:ascii="Arial" w:eastAsia="Times New Roman" w:hAnsi="Arial" w:cs="Times New Roman"/>
          <w:color w:val="0F1A2F"/>
          <w:lang w:eastAsia="es-ES_tradnl"/>
        </w:rPr>
        <w:t>Durante el juego del hoyo 5, a la izquierda de dicho hoyo, identificado por líneas o estacas blancas.</w:t>
      </w:r>
    </w:p>
    <w:p w14:paraId="27C3F58F" w14:textId="77777777" w:rsidR="00C55EE3" w:rsidRPr="00C55EE3" w:rsidRDefault="00C55EE3" w:rsidP="00C55EE3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0F1A2F"/>
          <w:lang w:eastAsia="es-ES_tradnl"/>
        </w:rPr>
      </w:pPr>
      <w:r w:rsidRPr="00C55EE3">
        <w:rPr>
          <w:rFonts w:ascii="Arial" w:eastAsia="Times New Roman" w:hAnsi="Arial" w:cs="Times New Roman"/>
          <w:color w:val="0F1A2F"/>
          <w:lang w:eastAsia="es-ES_tradnl"/>
        </w:rPr>
        <w:t> </w:t>
      </w:r>
    </w:p>
    <w:p w14:paraId="23B02E6A" w14:textId="77777777" w:rsidR="00C55EE3" w:rsidRPr="00C55EE3" w:rsidRDefault="00C55EE3" w:rsidP="00C55EE3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Times New Roman"/>
          <w:b/>
          <w:bCs/>
          <w:color w:val="0F1A2F"/>
          <w:sz w:val="36"/>
          <w:szCs w:val="36"/>
          <w:lang w:eastAsia="es-ES_tradnl"/>
        </w:rPr>
      </w:pPr>
      <w:r w:rsidRPr="00C55EE3">
        <w:rPr>
          <w:rFonts w:ascii="Arial" w:eastAsia="Times New Roman" w:hAnsi="Arial" w:cs="Times New Roman"/>
          <w:b/>
          <w:bCs/>
          <w:color w:val="0F1A2F"/>
          <w:sz w:val="36"/>
          <w:szCs w:val="36"/>
          <w:lang w:eastAsia="es-ES_tradnl"/>
        </w:rPr>
        <w:t>2. Condiciones Anormales del Campo, Obstrucciones Inamovibles y Objetos integrantes (Regla 16)</w:t>
      </w:r>
    </w:p>
    <w:p w14:paraId="13B3B0F3" w14:textId="77777777" w:rsidR="00C55EE3" w:rsidRPr="00C55EE3" w:rsidRDefault="00C55EE3" w:rsidP="00C55EE3">
      <w:pPr>
        <w:shd w:val="clear" w:color="auto" w:fill="FFFFFF"/>
        <w:spacing w:after="100" w:afterAutospacing="1"/>
        <w:jc w:val="both"/>
        <w:rPr>
          <w:rFonts w:ascii="Arial" w:eastAsia="Times New Roman" w:hAnsi="Arial" w:cs="Times New Roman"/>
          <w:color w:val="0F1A2F"/>
          <w:lang w:eastAsia="es-ES_tradnl"/>
        </w:rPr>
      </w:pPr>
      <w:r w:rsidRPr="00C55EE3">
        <w:rPr>
          <w:rFonts w:ascii="Arial" w:eastAsia="Times New Roman" w:hAnsi="Arial" w:cs="Times New Roman"/>
          <w:color w:val="0F1A2F"/>
          <w:lang w:eastAsia="es-ES_tradnl"/>
        </w:rPr>
        <w:t>Se consideran Obstrucciones Inamovibles:</w:t>
      </w:r>
    </w:p>
    <w:p w14:paraId="6F980D9A" w14:textId="77777777" w:rsidR="00C55EE3" w:rsidRPr="00C55EE3" w:rsidRDefault="00C55EE3" w:rsidP="00C55EE3">
      <w:pPr>
        <w:numPr>
          <w:ilvl w:val="0"/>
          <w:numId w:val="3"/>
        </w:numPr>
        <w:ind w:left="495"/>
        <w:jc w:val="both"/>
        <w:textAlignment w:val="baseline"/>
        <w:rPr>
          <w:rFonts w:ascii="Arial" w:eastAsia="Times New Roman" w:hAnsi="Arial" w:cs="Times New Roman"/>
          <w:color w:val="0F1A2F"/>
          <w:lang w:eastAsia="es-ES_tradnl"/>
        </w:rPr>
      </w:pPr>
      <w:r w:rsidRPr="00C55EE3">
        <w:rPr>
          <w:rFonts w:ascii="Arial" w:eastAsia="Times New Roman" w:hAnsi="Arial" w:cs="Times New Roman"/>
          <w:color w:val="0F1A2F"/>
          <w:lang w:eastAsia="es-ES_tradnl"/>
        </w:rPr>
        <w:t>Las marcas que definen el área del lugar de salida de todos los hoyos</w:t>
      </w:r>
    </w:p>
    <w:p w14:paraId="374EC28C" w14:textId="77777777" w:rsidR="00C55EE3" w:rsidRPr="00C55EE3" w:rsidRDefault="00C55EE3" w:rsidP="00C55EE3">
      <w:pPr>
        <w:numPr>
          <w:ilvl w:val="0"/>
          <w:numId w:val="3"/>
        </w:numPr>
        <w:ind w:left="495"/>
        <w:jc w:val="both"/>
        <w:textAlignment w:val="baseline"/>
        <w:rPr>
          <w:rFonts w:ascii="Arial" w:eastAsia="Times New Roman" w:hAnsi="Arial" w:cs="Times New Roman"/>
          <w:color w:val="0F1A2F"/>
          <w:lang w:eastAsia="es-ES_tradnl"/>
        </w:rPr>
      </w:pPr>
      <w:r w:rsidRPr="00C55EE3">
        <w:rPr>
          <w:rFonts w:ascii="Arial" w:eastAsia="Times New Roman" w:hAnsi="Arial" w:cs="Times New Roman"/>
          <w:color w:val="0F1A2F"/>
          <w:lang w:eastAsia="es-ES_tradnl"/>
        </w:rPr>
        <w:t>Los bancos, papeleras y pequeñas vallas de madera que impiden el paso por alguna zona en el campo.</w:t>
      </w:r>
    </w:p>
    <w:p w14:paraId="638A3ED0" w14:textId="77777777" w:rsidR="00C55EE3" w:rsidRPr="00C55EE3" w:rsidRDefault="00C55EE3" w:rsidP="00C55EE3">
      <w:pPr>
        <w:numPr>
          <w:ilvl w:val="0"/>
          <w:numId w:val="3"/>
        </w:numPr>
        <w:ind w:left="495"/>
        <w:jc w:val="both"/>
        <w:textAlignment w:val="baseline"/>
        <w:rPr>
          <w:rFonts w:ascii="Arial" w:eastAsia="Times New Roman" w:hAnsi="Arial" w:cs="Times New Roman"/>
          <w:color w:val="0F1A2F"/>
          <w:lang w:eastAsia="es-ES_tradnl"/>
        </w:rPr>
      </w:pPr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Las estacas que indican la distancia a </w:t>
      </w:r>
      <w:proofErr w:type="spellStart"/>
      <w:r w:rsidRPr="00C55EE3">
        <w:rPr>
          <w:rFonts w:ascii="Arial" w:eastAsia="Times New Roman" w:hAnsi="Arial" w:cs="Times New Roman"/>
          <w:color w:val="0F1A2F"/>
          <w:lang w:eastAsia="es-ES_tradnl"/>
        </w:rPr>
        <w:t>green</w:t>
      </w:r>
      <w:proofErr w:type="spellEnd"/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 y las estacas de zona de </w:t>
      </w:r>
      <w:proofErr w:type="spellStart"/>
      <w:r w:rsidRPr="00C55EE3">
        <w:rPr>
          <w:rFonts w:ascii="Arial" w:eastAsia="Times New Roman" w:hAnsi="Arial" w:cs="Times New Roman"/>
          <w:color w:val="0F1A2F"/>
          <w:lang w:eastAsia="es-ES_tradnl"/>
        </w:rPr>
        <w:t>dropaje</w:t>
      </w:r>
      <w:proofErr w:type="spellEnd"/>
      <w:r w:rsidRPr="00C55EE3">
        <w:rPr>
          <w:rFonts w:ascii="Arial" w:eastAsia="Times New Roman" w:hAnsi="Arial" w:cs="Times New Roman"/>
          <w:color w:val="0F1A2F"/>
          <w:lang w:eastAsia="es-ES_tradnl"/>
        </w:rPr>
        <w:t>.</w:t>
      </w:r>
    </w:p>
    <w:p w14:paraId="4998961E" w14:textId="77777777" w:rsidR="00C55EE3" w:rsidRPr="00C55EE3" w:rsidRDefault="00C55EE3" w:rsidP="00C55EE3">
      <w:pPr>
        <w:numPr>
          <w:ilvl w:val="0"/>
          <w:numId w:val="3"/>
        </w:numPr>
        <w:ind w:left="495"/>
        <w:jc w:val="both"/>
        <w:textAlignment w:val="baseline"/>
        <w:rPr>
          <w:rFonts w:ascii="Arial" w:eastAsia="Times New Roman" w:hAnsi="Arial" w:cs="Times New Roman"/>
          <w:color w:val="0F1A2F"/>
          <w:lang w:eastAsia="es-ES_tradnl"/>
        </w:rPr>
      </w:pPr>
      <w:r w:rsidRPr="00C55EE3">
        <w:rPr>
          <w:rFonts w:ascii="Arial" w:eastAsia="Times New Roman" w:hAnsi="Arial" w:cs="Times New Roman"/>
          <w:color w:val="0F1A2F"/>
          <w:lang w:eastAsia="es-ES_tradnl"/>
        </w:rPr>
        <w:t>Las estacas que marcan los Fuera de Limites internos de los hoyos 1 y 5 son consideradas objetos de límites durante el juego del hoyo 1 y hoyo 5. Para todos los otros hoyos, las estacas son obstrucciones inamovibles.</w:t>
      </w:r>
    </w:p>
    <w:p w14:paraId="7DC3CD98" w14:textId="77777777" w:rsidR="00C55EE3" w:rsidRPr="00C55EE3" w:rsidRDefault="00C55EE3" w:rsidP="00C55EE3">
      <w:pPr>
        <w:numPr>
          <w:ilvl w:val="0"/>
          <w:numId w:val="3"/>
        </w:numPr>
        <w:ind w:left="495"/>
        <w:jc w:val="both"/>
        <w:textAlignment w:val="baseline"/>
        <w:rPr>
          <w:rFonts w:ascii="Arial" w:eastAsia="Times New Roman" w:hAnsi="Arial" w:cs="Times New Roman"/>
          <w:color w:val="0F1A2F"/>
          <w:lang w:eastAsia="es-ES_tradnl"/>
        </w:rPr>
      </w:pPr>
      <w:r w:rsidRPr="00C55EE3">
        <w:rPr>
          <w:rFonts w:ascii="Arial" w:eastAsia="Times New Roman" w:hAnsi="Arial" w:cs="Times New Roman"/>
          <w:color w:val="0F1A2F"/>
          <w:lang w:eastAsia="es-ES_tradnl"/>
        </w:rPr>
        <w:t>Los caminos pavimentados con mallas rígidas de polietileno, incluso si estas están cubiertas de césped.</w:t>
      </w:r>
    </w:p>
    <w:p w14:paraId="5BB3321C" w14:textId="77777777" w:rsidR="00C55EE3" w:rsidRPr="00C55EE3" w:rsidRDefault="00C55EE3" w:rsidP="00C55EE3">
      <w:pPr>
        <w:numPr>
          <w:ilvl w:val="0"/>
          <w:numId w:val="3"/>
        </w:numPr>
        <w:ind w:left="495"/>
        <w:jc w:val="both"/>
        <w:textAlignment w:val="baseline"/>
        <w:rPr>
          <w:rFonts w:ascii="Arial" w:eastAsia="Times New Roman" w:hAnsi="Arial" w:cs="Times New Roman"/>
          <w:color w:val="0F1A2F"/>
          <w:lang w:eastAsia="es-ES_tradnl"/>
        </w:rPr>
      </w:pPr>
      <w:r w:rsidRPr="00C55EE3">
        <w:rPr>
          <w:rFonts w:ascii="Arial" w:eastAsia="Times New Roman" w:hAnsi="Arial" w:cs="Times New Roman"/>
          <w:color w:val="0F1A2F"/>
          <w:lang w:eastAsia="es-ES_tradnl"/>
        </w:rPr>
        <w:t>Aspersores, mangueras y bocas de riego.</w:t>
      </w:r>
    </w:p>
    <w:p w14:paraId="0496399D" w14:textId="77777777" w:rsidR="00C55EE3" w:rsidRPr="00C55EE3" w:rsidRDefault="00C55EE3" w:rsidP="00C55EE3">
      <w:pPr>
        <w:numPr>
          <w:ilvl w:val="0"/>
          <w:numId w:val="3"/>
        </w:numPr>
        <w:ind w:left="495"/>
        <w:jc w:val="both"/>
        <w:textAlignment w:val="baseline"/>
        <w:rPr>
          <w:rFonts w:ascii="Arial" w:eastAsia="Times New Roman" w:hAnsi="Arial" w:cs="Times New Roman"/>
          <w:color w:val="0F1A2F"/>
          <w:lang w:eastAsia="es-ES_tradnl"/>
        </w:rPr>
      </w:pPr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El muro de cemento que bordea el </w:t>
      </w:r>
      <w:proofErr w:type="spellStart"/>
      <w:r w:rsidRPr="00C55EE3">
        <w:rPr>
          <w:rFonts w:ascii="Arial" w:eastAsia="Times New Roman" w:hAnsi="Arial" w:cs="Times New Roman"/>
          <w:color w:val="0F1A2F"/>
          <w:lang w:eastAsia="es-ES_tradnl"/>
        </w:rPr>
        <w:t>green</w:t>
      </w:r>
      <w:proofErr w:type="spellEnd"/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 de los hoyos 9 y 18</w:t>
      </w:r>
    </w:p>
    <w:p w14:paraId="122CDC8F" w14:textId="77777777" w:rsidR="00C55EE3" w:rsidRPr="00C55EE3" w:rsidRDefault="00C55EE3" w:rsidP="00C55EE3">
      <w:pPr>
        <w:numPr>
          <w:ilvl w:val="0"/>
          <w:numId w:val="3"/>
        </w:numPr>
        <w:ind w:left="495"/>
        <w:jc w:val="both"/>
        <w:textAlignment w:val="baseline"/>
        <w:rPr>
          <w:rFonts w:ascii="Arial" w:eastAsia="Times New Roman" w:hAnsi="Arial" w:cs="Times New Roman"/>
          <w:color w:val="0F1A2F"/>
          <w:lang w:eastAsia="es-ES_tradnl"/>
        </w:rPr>
      </w:pPr>
      <w:r w:rsidRPr="00C55EE3">
        <w:rPr>
          <w:rFonts w:ascii="Arial" w:eastAsia="Times New Roman" w:hAnsi="Arial" w:cs="Times New Roman"/>
          <w:color w:val="0F1A2F"/>
          <w:lang w:eastAsia="es-ES_tradnl"/>
        </w:rPr>
        <w:t>Todos los caminos y sus cunetas se consideran objeto integrante del campo no pudiendo obtener alivio sin penalización.</w:t>
      </w:r>
    </w:p>
    <w:p w14:paraId="5E1606FB" w14:textId="77777777" w:rsidR="00C55EE3" w:rsidRPr="00C55EE3" w:rsidRDefault="00C55EE3" w:rsidP="00C55EE3">
      <w:pPr>
        <w:numPr>
          <w:ilvl w:val="1"/>
          <w:numId w:val="3"/>
        </w:numPr>
        <w:ind w:left="1215"/>
        <w:jc w:val="both"/>
        <w:textAlignment w:val="baseline"/>
        <w:rPr>
          <w:rFonts w:ascii="Arial" w:eastAsia="Times New Roman" w:hAnsi="Arial" w:cs="Times New Roman"/>
          <w:color w:val="0F1A2F"/>
          <w:lang w:eastAsia="es-ES_tradnl"/>
        </w:rPr>
      </w:pPr>
      <w:r w:rsidRPr="00C55EE3">
        <w:rPr>
          <w:rFonts w:ascii="Arial" w:eastAsia="Times New Roman" w:hAnsi="Arial" w:cs="Times New Roman"/>
          <w:color w:val="0F1A2F"/>
          <w:lang w:eastAsia="es-ES_tradnl"/>
        </w:rPr>
        <w:t>Tomar alivio según la Regla 17.1; o</w:t>
      </w:r>
    </w:p>
    <w:p w14:paraId="0E16AB65" w14:textId="77777777" w:rsidR="00C55EE3" w:rsidRPr="00C55EE3" w:rsidRDefault="00C55EE3" w:rsidP="00C55EE3">
      <w:pPr>
        <w:numPr>
          <w:ilvl w:val="1"/>
          <w:numId w:val="3"/>
        </w:numPr>
        <w:ind w:left="1215"/>
        <w:jc w:val="both"/>
        <w:textAlignment w:val="baseline"/>
        <w:rPr>
          <w:rFonts w:ascii="Arial" w:eastAsia="Times New Roman" w:hAnsi="Arial" w:cs="Times New Roman"/>
          <w:color w:val="0F1A2F"/>
          <w:lang w:eastAsia="es-ES_tradnl"/>
        </w:rPr>
      </w:pPr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Como una opción adicional, dropar la bola original u otra bola en la zona de </w:t>
      </w:r>
      <w:proofErr w:type="spellStart"/>
      <w:r w:rsidRPr="00C55EE3">
        <w:rPr>
          <w:rFonts w:ascii="Arial" w:eastAsia="Times New Roman" w:hAnsi="Arial" w:cs="Times New Roman"/>
          <w:color w:val="0F1A2F"/>
          <w:lang w:eastAsia="es-ES_tradnl"/>
        </w:rPr>
        <w:t>dropaje</w:t>
      </w:r>
      <w:proofErr w:type="spellEnd"/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 en la esquina de hierba artificial existente al fondo del hoyo 2/11, marcada como Zona de </w:t>
      </w:r>
      <w:proofErr w:type="spellStart"/>
      <w:r w:rsidRPr="00C55EE3">
        <w:rPr>
          <w:rFonts w:ascii="Arial" w:eastAsia="Times New Roman" w:hAnsi="Arial" w:cs="Times New Roman"/>
          <w:color w:val="0F1A2F"/>
          <w:lang w:eastAsia="es-ES_tradnl"/>
        </w:rPr>
        <w:t>Dropaje</w:t>
      </w:r>
      <w:proofErr w:type="spellEnd"/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. La zona de </w:t>
      </w:r>
      <w:proofErr w:type="spellStart"/>
      <w:r w:rsidRPr="00C55EE3">
        <w:rPr>
          <w:rFonts w:ascii="Arial" w:eastAsia="Times New Roman" w:hAnsi="Arial" w:cs="Times New Roman"/>
          <w:color w:val="0F1A2F"/>
          <w:lang w:eastAsia="es-ES_tradnl"/>
        </w:rPr>
        <w:t>dropaje</w:t>
      </w:r>
      <w:proofErr w:type="spellEnd"/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 es un área de alivio según la Regla 14.3.</w:t>
      </w:r>
    </w:p>
    <w:p w14:paraId="2D9A471A" w14:textId="77777777" w:rsidR="009E7B27" w:rsidRDefault="009E7B27" w:rsidP="00C55EE3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Times New Roman"/>
          <w:b/>
          <w:bCs/>
          <w:color w:val="0F1A2F"/>
          <w:sz w:val="36"/>
          <w:szCs w:val="36"/>
          <w:lang w:eastAsia="es-ES_tradnl"/>
        </w:rPr>
      </w:pPr>
    </w:p>
    <w:p w14:paraId="1A759FCC" w14:textId="77777777" w:rsidR="009E7B27" w:rsidRDefault="009E7B27" w:rsidP="00C55EE3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Times New Roman"/>
          <w:b/>
          <w:bCs/>
          <w:color w:val="0F1A2F"/>
          <w:sz w:val="36"/>
          <w:szCs w:val="36"/>
          <w:lang w:eastAsia="es-ES_tradnl"/>
        </w:rPr>
      </w:pPr>
    </w:p>
    <w:p w14:paraId="16B9FDDD" w14:textId="12A68CD6" w:rsidR="00C55EE3" w:rsidRPr="00C55EE3" w:rsidRDefault="00C55EE3" w:rsidP="00C55EE3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Times New Roman"/>
          <w:b/>
          <w:bCs/>
          <w:color w:val="0F1A2F"/>
          <w:sz w:val="36"/>
          <w:szCs w:val="36"/>
          <w:lang w:eastAsia="es-ES_tradnl"/>
        </w:rPr>
      </w:pPr>
      <w:r w:rsidRPr="00C55EE3">
        <w:rPr>
          <w:rFonts w:ascii="Arial" w:eastAsia="Times New Roman" w:hAnsi="Arial" w:cs="Times New Roman"/>
          <w:b/>
          <w:bCs/>
          <w:color w:val="0F1A2F"/>
          <w:sz w:val="36"/>
          <w:szCs w:val="36"/>
          <w:lang w:eastAsia="es-ES_tradnl"/>
        </w:rPr>
        <w:lastRenderedPageBreak/>
        <w:t>3. Colocación de bola (Lie Preferido) (Regla Local Modelo E-3)</w:t>
      </w:r>
    </w:p>
    <w:p w14:paraId="784CB54A" w14:textId="77777777" w:rsidR="00C55EE3" w:rsidRPr="00C55EE3" w:rsidRDefault="00C55EE3" w:rsidP="00C55EE3">
      <w:pPr>
        <w:shd w:val="clear" w:color="auto" w:fill="FFFFFF"/>
        <w:spacing w:after="100" w:afterAutospacing="1"/>
        <w:jc w:val="both"/>
        <w:rPr>
          <w:rFonts w:ascii="Arial" w:eastAsia="Times New Roman" w:hAnsi="Arial" w:cs="Times New Roman"/>
          <w:color w:val="0F1A2F"/>
          <w:lang w:eastAsia="es-ES_tradnl"/>
        </w:rPr>
      </w:pPr>
      <w:r w:rsidRPr="00C55EE3">
        <w:rPr>
          <w:rFonts w:ascii="Arial" w:eastAsia="Times New Roman" w:hAnsi="Arial" w:cs="Times New Roman"/>
          <w:color w:val="0F1A2F"/>
          <w:lang w:eastAsia="es-ES_tradnl"/>
        </w:rPr>
        <w:t>Cuando la bola de un jugador reposa en una parte del área general cortada a la altura de la calle o menor, el jugador puede tomar alivio sin penalización sólo una vez colocando la bola original u otra bola, y jugándola, en esta área de alivio:</w:t>
      </w:r>
    </w:p>
    <w:p w14:paraId="31D3C5F4" w14:textId="77777777" w:rsidR="00C55EE3" w:rsidRPr="00C55EE3" w:rsidRDefault="00C55EE3" w:rsidP="00C55EE3">
      <w:pPr>
        <w:numPr>
          <w:ilvl w:val="0"/>
          <w:numId w:val="4"/>
        </w:numPr>
        <w:ind w:left="495"/>
        <w:jc w:val="both"/>
        <w:textAlignment w:val="baseline"/>
        <w:rPr>
          <w:rFonts w:ascii="Arial" w:eastAsia="Times New Roman" w:hAnsi="Arial" w:cs="Times New Roman"/>
          <w:color w:val="0F1A2F"/>
          <w:lang w:eastAsia="es-ES_tradnl"/>
        </w:rPr>
      </w:pPr>
      <w:r w:rsidRPr="00C55EE3">
        <w:rPr>
          <w:rFonts w:ascii="Arial" w:eastAsia="Times New Roman" w:hAnsi="Arial" w:cs="Times New Roman"/>
          <w:color w:val="0F1A2F"/>
          <w:lang w:eastAsia="es-ES_tradnl"/>
        </w:rPr>
        <w:t>Punto de Referencia: El punto de la bola original.</w:t>
      </w:r>
    </w:p>
    <w:p w14:paraId="245DF50A" w14:textId="77777777" w:rsidR="00C55EE3" w:rsidRPr="00C55EE3" w:rsidRDefault="00C55EE3" w:rsidP="00C55EE3">
      <w:pPr>
        <w:numPr>
          <w:ilvl w:val="0"/>
          <w:numId w:val="4"/>
        </w:numPr>
        <w:ind w:left="495"/>
        <w:jc w:val="both"/>
        <w:textAlignment w:val="baseline"/>
        <w:rPr>
          <w:rFonts w:ascii="Arial" w:eastAsia="Times New Roman" w:hAnsi="Arial" w:cs="Times New Roman"/>
          <w:color w:val="0F1A2F"/>
          <w:lang w:eastAsia="es-ES_tradnl"/>
        </w:rPr>
      </w:pPr>
      <w:r w:rsidRPr="00C55EE3">
        <w:rPr>
          <w:rFonts w:ascii="Arial" w:eastAsia="Times New Roman" w:hAnsi="Arial" w:cs="Times New Roman"/>
          <w:color w:val="0F1A2F"/>
          <w:lang w:eastAsia="es-ES_tradnl"/>
        </w:rPr>
        <w:t>Tamaño del Área de Alivio Medido desde el Punto de Referencia: Una tarjeta desde el punto de referencia, pero con estas limitaciones:</w:t>
      </w:r>
    </w:p>
    <w:p w14:paraId="438E3A7A" w14:textId="77777777" w:rsidR="00C55EE3" w:rsidRPr="00C55EE3" w:rsidRDefault="00C55EE3" w:rsidP="00C55EE3">
      <w:pPr>
        <w:numPr>
          <w:ilvl w:val="0"/>
          <w:numId w:val="4"/>
        </w:numPr>
        <w:ind w:left="495"/>
        <w:jc w:val="both"/>
        <w:textAlignment w:val="baseline"/>
        <w:rPr>
          <w:rFonts w:ascii="Arial" w:eastAsia="Times New Roman" w:hAnsi="Arial" w:cs="Times New Roman"/>
          <w:color w:val="0F1A2F"/>
          <w:lang w:eastAsia="es-ES_tradnl"/>
        </w:rPr>
      </w:pPr>
      <w:r w:rsidRPr="00C55EE3">
        <w:rPr>
          <w:rFonts w:ascii="Arial" w:eastAsia="Times New Roman" w:hAnsi="Arial" w:cs="Times New Roman"/>
          <w:color w:val="0F1A2F"/>
          <w:lang w:eastAsia="es-ES_tradnl"/>
        </w:rPr>
        <w:t>Limitaciones en la Ubicación del Área de Alivio: No debe estar más cerca del hoyo que el punto de referencia, y debe estar en el área general.</w:t>
      </w:r>
    </w:p>
    <w:p w14:paraId="42663CDA" w14:textId="77777777" w:rsidR="00C55EE3" w:rsidRPr="00C55EE3" w:rsidRDefault="00C55EE3" w:rsidP="00C55EE3">
      <w:pPr>
        <w:shd w:val="clear" w:color="auto" w:fill="FFFFFF"/>
        <w:spacing w:after="100" w:afterAutospacing="1"/>
        <w:jc w:val="both"/>
        <w:rPr>
          <w:rFonts w:ascii="Arial" w:eastAsia="Times New Roman" w:hAnsi="Arial" w:cs="Times New Roman"/>
          <w:color w:val="0F1A2F"/>
          <w:lang w:eastAsia="es-ES_tradnl"/>
        </w:rPr>
      </w:pPr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Al proceder </w:t>
      </w:r>
      <w:proofErr w:type="gramStart"/>
      <w:r w:rsidRPr="00C55EE3">
        <w:rPr>
          <w:rFonts w:ascii="Arial" w:eastAsia="Times New Roman" w:hAnsi="Arial" w:cs="Times New Roman"/>
          <w:color w:val="0F1A2F"/>
          <w:lang w:eastAsia="es-ES_tradnl"/>
        </w:rPr>
        <w:t>de acuerdo a</w:t>
      </w:r>
      <w:proofErr w:type="gramEnd"/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 esta Regla Local, el jugador debe elegir un sitio para colocar la bola y usar los procedimientos de reponer una bola según las Reglas 14.2b (2) y 14.2e.</w:t>
      </w:r>
    </w:p>
    <w:p w14:paraId="67394B90" w14:textId="77777777" w:rsidR="00C55EE3" w:rsidRPr="00C55EE3" w:rsidRDefault="00C55EE3" w:rsidP="00C55EE3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Times New Roman"/>
          <w:b/>
          <w:bCs/>
          <w:color w:val="0F1A2F"/>
          <w:sz w:val="36"/>
          <w:szCs w:val="36"/>
          <w:lang w:eastAsia="es-ES_tradnl"/>
        </w:rPr>
      </w:pPr>
      <w:r w:rsidRPr="00C55EE3">
        <w:rPr>
          <w:rFonts w:ascii="Arial" w:eastAsia="Times New Roman" w:hAnsi="Arial" w:cs="Times New Roman"/>
          <w:b/>
          <w:bCs/>
          <w:color w:val="0F1A2F"/>
          <w:sz w:val="36"/>
          <w:szCs w:val="36"/>
          <w:lang w:eastAsia="es-ES_tradnl"/>
        </w:rPr>
        <w:t xml:space="preserve">4. Zona de </w:t>
      </w:r>
      <w:proofErr w:type="spellStart"/>
      <w:r w:rsidRPr="00C55EE3">
        <w:rPr>
          <w:rFonts w:ascii="Arial" w:eastAsia="Times New Roman" w:hAnsi="Arial" w:cs="Times New Roman"/>
          <w:b/>
          <w:bCs/>
          <w:color w:val="0F1A2F"/>
          <w:sz w:val="36"/>
          <w:szCs w:val="36"/>
          <w:lang w:eastAsia="es-ES_tradnl"/>
        </w:rPr>
        <w:t>Dropaje</w:t>
      </w:r>
      <w:proofErr w:type="spellEnd"/>
      <w:r w:rsidRPr="00C55EE3">
        <w:rPr>
          <w:rFonts w:ascii="Arial" w:eastAsia="Times New Roman" w:hAnsi="Arial" w:cs="Times New Roman"/>
          <w:b/>
          <w:bCs/>
          <w:color w:val="0F1A2F"/>
          <w:sz w:val="36"/>
          <w:szCs w:val="36"/>
          <w:lang w:eastAsia="es-ES_tradnl"/>
        </w:rPr>
        <w:t xml:space="preserve"> hoyos 2/11 (Regla Local Modelo E-1.1)</w:t>
      </w:r>
    </w:p>
    <w:p w14:paraId="1C14C162" w14:textId="77777777" w:rsidR="00C55EE3" w:rsidRPr="00C55EE3" w:rsidRDefault="00C55EE3" w:rsidP="00C55EE3">
      <w:pPr>
        <w:shd w:val="clear" w:color="auto" w:fill="FFFFFF"/>
        <w:spacing w:after="100" w:afterAutospacing="1"/>
        <w:jc w:val="both"/>
        <w:rPr>
          <w:rFonts w:ascii="Arial" w:eastAsia="Times New Roman" w:hAnsi="Arial" w:cs="Times New Roman"/>
          <w:color w:val="0F1A2F"/>
          <w:lang w:eastAsia="es-ES_tradnl"/>
        </w:rPr>
      </w:pPr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Existe un área de penalización (marcada con estacas rojas), a la izquierda del </w:t>
      </w:r>
      <w:proofErr w:type="spellStart"/>
      <w:r w:rsidRPr="00C55EE3">
        <w:rPr>
          <w:rFonts w:ascii="Arial" w:eastAsia="Times New Roman" w:hAnsi="Arial" w:cs="Times New Roman"/>
          <w:color w:val="0F1A2F"/>
          <w:lang w:eastAsia="es-ES_tradnl"/>
        </w:rPr>
        <w:t>green</w:t>
      </w:r>
      <w:proofErr w:type="spellEnd"/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 de los hoyos 2/11 y el comienzo de los hoyos 3/12 que se extiende hasta el margen del fuera de límites y coincide con el mismo. Si una bola reposa en el área de penalización, el jugador tiene estas opciones de alivio, cada una con un golpe de penalización:</w:t>
      </w:r>
    </w:p>
    <w:p w14:paraId="634B9FEC" w14:textId="77777777" w:rsidR="00C55EE3" w:rsidRPr="00C55EE3" w:rsidRDefault="00C55EE3" w:rsidP="00C55EE3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Times New Roman"/>
          <w:b/>
          <w:bCs/>
          <w:color w:val="0F1A2F"/>
          <w:sz w:val="36"/>
          <w:szCs w:val="36"/>
          <w:lang w:eastAsia="es-ES_tradnl"/>
        </w:rPr>
      </w:pPr>
      <w:r w:rsidRPr="00C55EE3">
        <w:rPr>
          <w:rFonts w:ascii="Arial" w:eastAsia="Times New Roman" w:hAnsi="Arial" w:cs="Times New Roman"/>
          <w:b/>
          <w:bCs/>
          <w:color w:val="0F1A2F"/>
          <w:sz w:val="36"/>
          <w:szCs w:val="36"/>
          <w:lang w:eastAsia="es-ES_tradnl"/>
        </w:rPr>
        <w:t xml:space="preserve">5. Zona de </w:t>
      </w:r>
      <w:proofErr w:type="spellStart"/>
      <w:r w:rsidRPr="00C55EE3">
        <w:rPr>
          <w:rFonts w:ascii="Arial" w:eastAsia="Times New Roman" w:hAnsi="Arial" w:cs="Times New Roman"/>
          <w:b/>
          <w:bCs/>
          <w:color w:val="0F1A2F"/>
          <w:sz w:val="36"/>
          <w:szCs w:val="36"/>
          <w:lang w:eastAsia="es-ES_tradnl"/>
        </w:rPr>
        <w:t>Dropaje</w:t>
      </w:r>
      <w:proofErr w:type="spellEnd"/>
      <w:r w:rsidRPr="00C55EE3">
        <w:rPr>
          <w:rFonts w:ascii="Arial" w:eastAsia="Times New Roman" w:hAnsi="Arial" w:cs="Times New Roman"/>
          <w:b/>
          <w:bCs/>
          <w:color w:val="0F1A2F"/>
          <w:sz w:val="36"/>
          <w:szCs w:val="36"/>
          <w:lang w:eastAsia="es-ES_tradnl"/>
        </w:rPr>
        <w:t xml:space="preserve"> hoyos 7/16 y 9/18 (Regla Local Modelo E-1.1)</w:t>
      </w:r>
    </w:p>
    <w:p w14:paraId="6742F9F9" w14:textId="77777777" w:rsidR="00C55EE3" w:rsidRPr="00C55EE3" w:rsidRDefault="00C55EE3" w:rsidP="00C55EE3">
      <w:pPr>
        <w:shd w:val="clear" w:color="auto" w:fill="FFFFFF"/>
        <w:spacing w:after="100" w:afterAutospacing="1"/>
        <w:jc w:val="both"/>
        <w:rPr>
          <w:rFonts w:ascii="Arial" w:eastAsia="Times New Roman" w:hAnsi="Arial" w:cs="Times New Roman"/>
          <w:color w:val="0F1A2F"/>
          <w:lang w:eastAsia="es-ES_tradnl"/>
        </w:rPr>
      </w:pPr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Si una bola está en el área de penalización de los hoyos 7/16 y el área de penalización junto al </w:t>
      </w:r>
      <w:proofErr w:type="spellStart"/>
      <w:r w:rsidRPr="00C55EE3">
        <w:rPr>
          <w:rFonts w:ascii="Arial" w:eastAsia="Times New Roman" w:hAnsi="Arial" w:cs="Times New Roman"/>
          <w:color w:val="0F1A2F"/>
          <w:lang w:eastAsia="es-ES_tradnl"/>
        </w:rPr>
        <w:t>green</w:t>
      </w:r>
      <w:proofErr w:type="spellEnd"/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 de los hoyos 9/18, incluyendo cuando es conocido o virtualmente cierto que una bola no encontrada terminó reposando en dichas áreas de penalización, el jugador tiene estas opciones de alivio, cada una con un golpe de penalización:</w:t>
      </w:r>
    </w:p>
    <w:p w14:paraId="0F7CAC1D" w14:textId="77777777" w:rsidR="00C55EE3" w:rsidRPr="00C55EE3" w:rsidRDefault="00C55EE3" w:rsidP="00C55EE3">
      <w:pPr>
        <w:numPr>
          <w:ilvl w:val="0"/>
          <w:numId w:val="5"/>
        </w:numPr>
        <w:ind w:left="495"/>
        <w:jc w:val="both"/>
        <w:textAlignment w:val="baseline"/>
        <w:rPr>
          <w:rFonts w:ascii="Arial" w:eastAsia="Times New Roman" w:hAnsi="Arial" w:cs="Times New Roman"/>
          <w:color w:val="0F1A2F"/>
          <w:lang w:eastAsia="es-ES_tradnl"/>
        </w:rPr>
      </w:pPr>
      <w:r w:rsidRPr="00C55EE3">
        <w:rPr>
          <w:rFonts w:ascii="Arial" w:eastAsia="Times New Roman" w:hAnsi="Arial" w:cs="Times New Roman"/>
          <w:color w:val="0F1A2F"/>
          <w:lang w:eastAsia="es-ES_tradnl"/>
        </w:rPr>
        <w:t>Tomar alivio según la Regla 17.1, o</w:t>
      </w:r>
    </w:p>
    <w:p w14:paraId="3CE3822B" w14:textId="77777777" w:rsidR="00C55EE3" w:rsidRPr="00C55EE3" w:rsidRDefault="00C55EE3" w:rsidP="00C55EE3">
      <w:pPr>
        <w:numPr>
          <w:ilvl w:val="0"/>
          <w:numId w:val="5"/>
        </w:numPr>
        <w:ind w:left="495"/>
        <w:jc w:val="both"/>
        <w:textAlignment w:val="baseline"/>
        <w:rPr>
          <w:rFonts w:ascii="Arial" w:eastAsia="Times New Roman" w:hAnsi="Arial" w:cs="Times New Roman"/>
          <w:color w:val="0F1A2F"/>
          <w:lang w:eastAsia="es-ES_tradnl"/>
        </w:rPr>
      </w:pPr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Como una opción adicional, dropar la bola original u otra bola en las respectivas zonas de </w:t>
      </w:r>
      <w:proofErr w:type="spellStart"/>
      <w:r w:rsidRPr="00C55EE3">
        <w:rPr>
          <w:rFonts w:ascii="Arial" w:eastAsia="Times New Roman" w:hAnsi="Arial" w:cs="Times New Roman"/>
          <w:color w:val="0F1A2F"/>
          <w:lang w:eastAsia="es-ES_tradnl"/>
        </w:rPr>
        <w:t>dropaje</w:t>
      </w:r>
      <w:proofErr w:type="spellEnd"/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 que se encuentran en la parte anterior al </w:t>
      </w:r>
      <w:proofErr w:type="spellStart"/>
      <w:r w:rsidRPr="00C55EE3">
        <w:rPr>
          <w:rFonts w:ascii="Arial" w:eastAsia="Times New Roman" w:hAnsi="Arial" w:cs="Times New Roman"/>
          <w:color w:val="0F1A2F"/>
          <w:lang w:eastAsia="es-ES_tradnl"/>
        </w:rPr>
        <w:t>green</w:t>
      </w:r>
      <w:proofErr w:type="spellEnd"/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, ambas señalizadas al efecto. La zona de </w:t>
      </w:r>
      <w:proofErr w:type="spellStart"/>
      <w:r w:rsidRPr="00C55EE3">
        <w:rPr>
          <w:rFonts w:ascii="Arial" w:eastAsia="Times New Roman" w:hAnsi="Arial" w:cs="Times New Roman"/>
          <w:color w:val="0F1A2F"/>
          <w:lang w:eastAsia="es-ES_tradnl"/>
        </w:rPr>
        <w:t>dropaje</w:t>
      </w:r>
      <w:proofErr w:type="spellEnd"/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 es un área de alivio según la Regla 14.3.</w:t>
      </w:r>
    </w:p>
    <w:p w14:paraId="7F0576D8" w14:textId="77777777" w:rsidR="00C55EE3" w:rsidRPr="00C55EE3" w:rsidRDefault="00C55EE3" w:rsidP="00C55EE3">
      <w:pPr>
        <w:numPr>
          <w:ilvl w:val="0"/>
          <w:numId w:val="5"/>
        </w:numPr>
        <w:ind w:left="495"/>
        <w:jc w:val="both"/>
        <w:textAlignment w:val="baseline"/>
        <w:rPr>
          <w:rFonts w:ascii="Arial" w:eastAsia="Times New Roman" w:hAnsi="Arial" w:cs="Times New Roman"/>
          <w:color w:val="0F1A2F"/>
          <w:lang w:eastAsia="es-ES_tradnl"/>
        </w:rPr>
      </w:pPr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Excepción: NO está permitido el alivio en la zona de </w:t>
      </w:r>
      <w:proofErr w:type="spellStart"/>
      <w:r w:rsidRPr="00C55EE3">
        <w:rPr>
          <w:rFonts w:ascii="Arial" w:eastAsia="Times New Roman" w:hAnsi="Arial" w:cs="Times New Roman"/>
          <w:color w:val="0F1A2F"/>
          <w:lang w:eastAsia="es-ES_tradnl"/>
        </w:rPr>
        <w:t>dropaje</w:t>
      </w:r>
      <w:proofErr w:type="spellEnd"/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 anteriormente mencionada si es conocido o virtualmente cierto que la bola reposa en el riachuelo que comienza en el </w:t>
      </w:r>
      <w:proofErr w:type="spellStart"/>
      <w:r w:rsidRPr="00C55EE3">
        <w:rPr>
          <w:rFonts w:ascii="Arial" w:eastAsia="Times New Roman" w:hAnsi="Arial" w:cs="Times New Roman"/>
          <w:color w:val="0F1A2F"/>
          <w:lang w:eastAsia="es-ES_tradnl"/>
        </w:rPr>
        <w:t>tee</w:t>
      </w:r>
      <w:proofErr w:type="spellEnd"/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 y termina en el lago del hoyo 9/18.</w:t>
      </w:r>
    </w:p>
    <w:p w14:paraId="0FAD4AC3" w14:textId="77777777" w:rsidR="00C55EE3" w:rsidRPr="00C55EE3" w:rsidRDefault="00C55EE3" w:rsidP="00C55EE3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Times New Roman"/>
          <w:b/>
          <w:bCs/>
          <w:color w:val="0F1A2F"/>
          <w:sz w:val="36"/>
          <w:szCs w:val="36"/>
          <w:lang w:eastAsia="es-ES_tradnl"/>
        </w:rPr>
      </w:pPr>
      <w:r w:rsidRPr="00C55EE3">
        <w:rPr>
          <w:rFonts w:ascii="Arial" w:eastAsia="Times New Roman" w:hAnsi="Arial" w:cs="Times New Roman"/>
          <w:b/>
          <w:bCs/>
          <w:color w:val="0F1A2F"/>
          <w:sz w:val="36"/>
          <w:szCs w:val="36"/>
          <w:lang w:eastAsia="es-ES_tradnl"/>
        </w:rPr>
        <w:t>6. Green compartido hoyos 2/11 y 4/13 (Regla Local Modelo D-3.2)</w:t>
      </w:r>
    </w:p>
    <w:p w14:paraId="0619CBEC" w14:textId="77777777" w:rsidR="00C55EE3" w:rsidRPr="00C55EE3" w:rsidRDefault="00C55EE3" w:rsidP="00C55EE3">
      <w:pPr>
        <w:shd w:val="clear" w:color="auto" w:fill="FFFFFF"/>
        <w:spacing w:after="100" w:afterAutospacing="1"/>
        <w:jc w:val="both"/>
        <w:rPr>
          <w:rFonts w:ascii="Arial" w:eastAsia="Times New Roman" w:hAnsi="Arial" w:cs="Times New Roman"/>
          <w:color w:val="0F1A2F"/>
          <w:lang w:eastAsia="es-ES_tradnl"/>
        </w:rPr>
      </w:pPr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El </w:t>
      </w:r>
      <w:proofErr w:type="spellStart"/>
      <w:r w:rsidRPr="00C55EE3">
        <w:rPr>
          <w:rFonts w:ascii="Arial" w:eastAsia="Times New Roman" w:hAnsi="Arial" w:cs="Times New Roman"/>
          <w:color w:val="0F1A2F"/>
          <w:lang w:eastAsia="es-ES_tradnl"/>
        </w:rPr>
        <w:t>green</w:t>
      </w:r>
      <w:proofErr w:type="spellEnd"/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 que se utiliza en los hoyos 2/11 y 4/13 se considera como dos </w:t>
      </w:r>
      <w:proofErr w:type="spellStart"/>
      <w:r w:rsidRPr="00C55EE3">
        <w:rPr>
          <w:rFonts w:ascii="Arial" w:eastAsia="Times New Roman" w:hAnsi="Arial" w:cs="Times New Roman"/>
          <w:color w:val="0F1A2F"/>
          <w:lang w:eastAsia="es-ES_tradnl"/>
        </w:rPr>
        <w:t>greenes</w:t>
      </w:r>
      <w:proofErr w:type="spellEnd"/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 separados y están divididos por una línea de puntos o estacas de color. Un jugador que tiene interferencia con la parte del </w:t>
      </w:r>
      <w:proofErr w:type="spellStart"/>
      <w:r w:rsidRPr="00C55EE3">
        <w:rPr>
          <w:rFonts w:ascii="Arial" w:eastAsia="Times New Roman" w:hAnsi="Arial" w:cs="Times New Roman"/>
          <w:color w:val="0F1A2F"/>
          <w:lang w:eastAsia="es-ES_tradnl"/>
        </w:rPr>
        <w:t>green</w:t>
      </w:r>
      <w:proofErr w:type="spellEnd"/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 del hoyo que no está jugando está en un </w:t>
      </w:r>
      <w:proofErr w:type="spellStart"/>
      <w:r w:rsidRPr="00C55EE3">
        <w:rPr>
          <w:rFonts w:ascii="Arial" w:eastAsia="Times New Roman" w:hAnsi="Arial" w:cs="Times New Roman"/>
          <w:color w:val="0F1A2F"/>
          <w:lang w:eastAsia="es-ES_tradnl"/>
        </w:rPr>
        <w:t>green</w:t>
      </w:r>
      <w:proofErr w:type="spellEnd"/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 equivocado y debe tomar alivio según la Regla 13.1f.</w:t>
      </w:r>
    </w:p>
    <w:p w14:paraId="26B0CF3D" w14:textId="77777777" w:rsidR="00C55EE3" w:rsidRPr="00C55EE3" w:rsidRDefault="00C55EE3" w:rsidP="00C55EE3">
      <w:pPr>
        <w:shd w:val="clear" w:color="auto" w:fill="FFFFFF"/>
        <w:spacing w:after="100" w:afterAutospacing="1"/>
        <w:jc w:val="both"/>
        <w:rPr>
          <w:rFonts w:ascii="Arial" w:eastAsia="Times New Roman" w:hAnsi="Arial" w:cs="Times New Roman"/>
          <w:color w:val="0F1A2F"/>
          <w:lang w:eastAsia="es-ES_tradnl"/>
        </w:rPr>
      </w:pPr>
      <w:r w:rsidRPr="00C55EE3">
        <w:rPr>
          <w:rFonts w:ascii="Arial" w:eastAsia="Times New Roman" w:hAnsi="Arial" w:cs="Times New Roman"/>
          <w:color w:val="0F1A2F"/>
          <w:lang w:eastAsia="es-ES_tradnl"/>
        </w:rPr>
        <w:lastRenderedPageBreak/>
        <w:t xml:space="preserve">No existe interferencia si el </w:t>
      </w:r>
      <w:proofErr w:type="spellStart"/>
      <w:r w:rsidRPr="00C55EE3">
        <w:rPr>
          <w:rFonts w:ascii="Arial" w:eastAsia="Times New Roman" w:hAnsi="Arial" w:cs="Times New Roman"/>
          <w:color w:val="0F1A2F"/>
          <w:lang w:eastAsia="es-ES_tradnl"/>
        </w:rPr>
        <w:t>green</w:t>
      </w:r>
      <w:proofErr w:type="spellEnd"/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 equivocado sólo interfiere con el </w:t>
      </w:r>
      <w:proofErr w:type="spellStart"/>
      <w:r w:rsidRPr="00C55EE3">
        <w:rPr>
          <w:rFonts w:ascii="Arial" w:eastAsia="Times New Roman" w:hAnsi="Arial" w:cs="Times New Roman"/>
          <w:color w:val="0F1A2F"/>
          <w:lang w:eastAsia="es-ES_tradnl"/>
        </w:rPr>
        <w:t>stance</w:t>
      </w:r>
      <w:proofErr w:type="spellEnd"/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 del jugador. La Regla 13.1f es modificada de la siguiente manera: Cuando la bola de un jugador reposa en el </w:t>
      </w:r>
      <w:proofErr w:type="spellStart"/>
      <w:r w:rsidRPr="00C55EE3">
        <w:rPr>
          <w:rFonts w:ascii="Arial" w:eastAsia="Times New Roman" w:hAnsi="Arial" w:cs="Times New Roman"/>
          <w:color w:val="0F1A2F"/>
          <w:lang w:eastAsia="es-ES_tradnl"/>
        </w:rPr>
        <w:t>green</w:t>
      </w:r>
      <w:proofErr w:type="spellEnd"/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 del hoyo 2/11, no existe interferencia al </w:t>
      </w:r>
      <w:proofErr w:type="spellStart"/>
      <w:r w:rsidRPr="00C55EE3">
        <w:rPr>
          <w:rFonts w:ascii="Arial" w:eastAsia="Times New Roman" w:hAnsi="Arial" w:cs="Times New Roman"/>
          <w:color w:val="0F1A2F"/>
          <w:lang w:eastAsia="es-ES_tradnl"/>
        </w:rPr>
        <w:t>stance</w:t>
      </w:r>
      <w:proofErr w:type="spellEnd"/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 del jugador en el </w:t>
      </w:r>
      <w:proofErr w:type="spellStart"/>
      <w:r w:rsidRPr="00C55EE3">
        <w:rPr>
          <w:rFonts w:ascii="Arial" w:eastAsia="Times New Roman" w:hAnsi="Arial" w:cs="Times New Roman"/>
          <w:color w:val="0F1A2F"/>
          <w:lang w:eastAsia="es-ES_tradnl"/>
        </w:rPr>
        <w:t>green</w:t>
      </w:r>
      <w:proofErr w:type="spellEnd"/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 del hoyo 4/13 o al revés.</w:t>
      </w:r>
    </w:p>
    <w:p w14:paraId="680B1AF8" w14:textId="77777777" w:rsidR="00C55EE3" w:rsidRPr="00C55EE3" w:rsidRDefault="00C55EE3" w:rsidP="00C55EE3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Times New Roman"/>
          <w:b/>
          <w:bCs/>
          <w:color w:val="0F1A2F"/>
          <w:sz w:val="36"/>
          <w:szCs w:val="36"/>
          <w:lang w:eastAsia="es-ES_tradnl"/>
        </w:rPr>
      </w:pPr>
      <w:r w:rsidRPr="00C55EE3">
        <w:rPr>
          <w:rFonts w:ascii="Arial" w:eastAsia="Times New Roman" w:hAnsi="Arial" w:cs="Times New Roman"/>
          <w:b/>
          <w:bCs/>
          <w:color w:val="0F1A2F"/>
          <w:sz w:val="36"/>
          <w:szCs w:val="36"/>
          <w:lang w:eastAsia="es-ES_tradnl"/>
        </w:rPr>
        <w:t>7. Zonas de juego prohibido (Regla Local Modelo E-8.1)</w:t>
      </w:r>
    </w:p>
    <w:p w14:paraId="0D1684B2" w14:textId="77777777" w:rsidR="00C55EE3" w:rsidRPr="00C55EE3" w:rsidRDefault="00C55EE3" w:rsidP="00C55EE3">
      <w:pPr>
        <w:shd w:val="clear" w:color="auto" w:fill="FFFFFF"/>
        <w:spacing w:after="100" w:afterAutospacing="1"/>
        <w:jc w:val="both"/>
        <w:rPr>
          <w:rFonts w:ascii="Arial" w:eastAsia="Times New Roman" w:hAnsi="Arial" w:cs="Times New Roman"/>
          <w:color w:val="0F1A2F"/>
          <w:lang w:eastAsia="es-ES_tradnl"/>
        </w:rPr>
      </w:pPr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El perímetro ajardinado que rodea la caseta o refugio situado entre el hoyo 4/13 y la salida del 5/14 y el alcorque del olivo junto al </w:t>
      </w:r>
      <w:proofErr w:type="spellStart"/>
      <w:r w:rsidRPr="00C55EE3">
        <w:rPr>
          <w:rFonts w:ascii="Arial" w:eastAsia="Times New Roman" w:hAnsi="Arial" w:cs="Times New Roman"/>
          <w:color w:val="0F1A2F"/>
          <w:lang w:eastAsia="es-ES_tradnl"/>
        </w:rPr>
        <w:t>green</w:t>
      </w:r>
      <w:proofErr w:type="spellEnd"/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 de los hoyos 2/11 y 4/13, marcadas con estacas azules, son zonas de juego prohibido que deben ser tratadas como condición anormal del campo. Si la bola de un jugador reposa en o toca dichas áreas o interfiere con el </w:t>
      </w:r>
      <w:proofErr w:type="spellStart"/>
      <w:r w:rsidRPr="00C55EE3">
        <w:rPr>
          <w:rFonts w:ascii="Arial" w:eastAsia="Times New Roman" w:hAnsi="Arial" w:cs="Times New Roman"/>
          <w:color w:val="0F1A2F"/>
          <w:lang w:eastAsia="es-ES_tradnl"/>
        </w:rPr>
        <w:t>stance</w:t>
      </w:r>
      <w:proofErr w:type="spellEnd"/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 o área del swing pretendidos, el jugador debe tomar alivio según la Regla 16.1f.</w:t>
      </w:r>
    </w:p>
    <w:p w14:paraId="33ED6A05" w14:textId="77777777" w:rsidR="00C55EE3" w:rsidRPr="00C55EE3" w:rsidRDefault="00C55EE3" w:rsidP="00C55EE3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Times New Roman"/>
          <w:b/>
          <w:bCs/>
          <w:color w:val="0F1A2F"/>
          <w:sz w:val="36"/>
          <w:szCs w:val="36"/>
          <w:lang w:eastAsia="es-ES_tradnl"/>
        </w:rPr>
      </w:pPr>
      <w:r w:rsidRPr="00C55EE3">
        <w:rPr>
          <w:rFonts w:ascii="Arial" w:eastAsia="Times New Roman" w:hAnsi="Arial" w:cs="Times New Roman"/>
          <w:b/>
          <w:bCs/>
          <w:color w:val="0F1A2F"/>
          <w:sz w:val="36"/>
          <w:szCs w:val="36"/>
          <w:lang w:eastAsia="es-ES_tradnl"/>
        </w:rPr>
        <w:t>8. Ritmo de juego (Regla 5.6) – Tiempos Máximos de Recorrido para Cuatro Bolas</w:t>
      </w:r>
    </w:p>
    <w:p w14:paraId="360914FD" w14:textId="77777777" w:rsidR="00C55EE3" w:rsidRPr="00C55EE3" w:rsidRDefault="00C55EE3" w:rsidP="00C55EE3">
      <w:pPr>
        <w:shd w:val="clear" w:color="auto" w:fill="FFFFFF"/>
        <w:jc w:val="both"/>
        <w:rPr>
          <w:rFonts w:ascii="Arial" w:eastAsia="Times New Roman" w:hAnsi="Arial" w:cs="Times New Roman"/>
          <w:color w:val="0F1A2F"/>
          <w:lang w:eastAsia="es-ES_tradnl"/>
        </w:rPr>
      </w:pPr>
      <w:r w:rsidRPr="00C55EE3">
        <w:rPr>
          <w:rFonts w:ascii="Arial" w:eastAsia="Times New Roman" w:hAnsi="Arial" w:cs="Times New Roman"/>
          <w:color w:val="0F1A2F"/>
          <w:lang w:eastAsia="es-ES_tradnl"/>
        </w:rPr>
        <w:t xml:space="preserve">A cada hoyo se le ha asignado un tiempo máximo para completarlo basado en la longitud y dificultad </w:t>
      </w:r>
      <w:proofErr w:type="gramStart"/>
      <w:r w:rsidRPr="00C55EE3">
        <w:rPr>
          <w:rFonts w:ascii="Arial" w:eastAsia="Times New Roman" w:hAnsi="Arial" w:cs="Times New Roman"/>
          <w:color w:val="0F1A2F"/>
          <w:lang w:eastAsia="es-ES_tradnl"/>
        </w:rPr>
        <w:t>del mismo</w:t>
      </w:r>
      <w:proofErr w:type="gramEnd"/>
      <w:r w:rsidRPr="00C55EE3">
        <w:rPr>
          <w:rFonts w:ascii="Arial" w:eastAsia="Times New Roman" w:hAnsi="Arial" w:cs="Times New Roman"/>
          <w:color w:val="0F1A2F"/>
          <w:lang w:eastAsia="es-ES_tradnl"/>
        </w:rPr>
        <w:t>. El tiempo máximo asignado para completar la vuelta de 18 hoyos es la que se detalla a continuación. El siguiente procedimiento se aplica solamente si un grupo está fuera de posición.</w:t>
      </w:r>
    </w:p>
    <w:p w14:paraId="663AC600" w14:textId="77777777" w:rsidR="005D23EF" w:rsidRDefault="00000000"/>
    <w:sectPr w:rsidR="005D23EF" w:rsidSect="009E7B27">
      <w:pgSz w:w="11900" w:h="16840"/>
      <w:pgMar w:top="25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17FD2"/>
    <w:multiLevelType w:val="multilevel"/>
    <w:tmpl w:val="DF6A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AA2D50"/>
    <w:multiLevelType w:val="multilevel"/>
    <w:tmpl w:val="48FA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8B6664"/>
    <w:multiLevelType w:val="multilevel"/>
    <w:tmpl w:val="CDC6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4E5DE9"/>
    <w:multiLevelType w:val="multilevel"/>
    <w:tmpl w:val="1F0A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650D7D"/>
    <w:multiLevelType w:val="multilevel"/>
    <w:tmpl w:val="481E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058947">
    <w:abstractNumId w:val="0"/>
  </w:num>
  <w:num w:numId="2" w16cid:durableId="132522745">
    <w:abstractNumId w:val="1"/>
  </w:num>
  <w:num w:numId="3" w16cid:durableId="1555778879">
    <w:abstractNumId w:val="3"/>
  </w:num>
  <w:num w:numId="4" w16cid:durableId="1002706486">
    <w:abstractNumId w:val="4"/>
  </w:num>
  <w:num w:numId="5" w16cid:durableId="1472794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E3"/>
    <w:rsid w:val="004002A7"/>
    <w:rsid w:val="007922EF"/>
    <w:rsid w:val="00824C88"/>
    <w:rsid w:val="009E7B27"/>
    <w:rsid w:val="00C55EE3"/>
    <w:rsid w:val="00EA188C"/>
    <w:rsid w:val="00ED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078ABF"/>
  <w14:defaultImageDpi w14:val="32767"/>
  <w15:chartTrackingRefBased/>
  <w15:docId w15:val="{0612E26F-AC1D-6042-B0CD-7CF87FB7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link w:val="Ttulo1Car"/>
    <w:uiPriority w:val="9"/>
    <w:qFormat/>
    <w:rsid w:val="00C55EE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Ttulo2">
    <w:name w:val="heading 2"/>
    <w:basedOn w:val="Normal"/>
    <w:link w:val="Ttulo2Car"/>
    <w:uiPriority w:val="9"/>
    <w:qFormat/>
    <w:rsid w:val="00C55EE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5EE3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55EE3"/>
    <w:rPr>
      <w:rFonts w:ascii="Times New Roman" w:eastAsia="Times New Roman" w:hAnsi="Times New Roman" w:cs="Times New Roman"/>
      <w:b/>
      <w:bCs/>
      <w:sz w:val="36"/>
      <w:szCs w:val="36"/>
      <w:lang w:val="es-ES" w:eastAsia="es-ES_tradnl"/>
    </w:rPr>
  </w:style>
  <w:style w:type="paragraph" w:styleId="NormalWeb">
    <w:name w:val="Normal (Web)"/>
    <w:basedOn w:val="Normal"/>
    <w:uiPriority w:val="99"/>
    <w:semiHidden/>
    <w:unhideWhenUsed/>
    <w:rsid w:val="00C55E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6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3688">
          <w:marLeft w:val="-225"/>
          <w:marRight w:val="-225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3420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1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404117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6335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272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6409">
                  <w:marLeft w:val="0"/>
                  <w:marRight w:val="0"/>
                  <w:marTop w:val="773"/>
                  <w:marBottom w:val="7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373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8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843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de Colsa Espinosa</dc:creator>
  <cp:keywords/>
  <dc:description/>
  <cp:lastModifiedBy>Jesús de Colsa Espinosa</cp:lastModifiedBy>
  <cp:revision>2</cp:revision>
  <dcterms:created xsi:type="dcterms:W3CDTF">2023-06-09T09:37:00Z</dcterms:created>
  <dcterms:modified xsi:type="dcterms:W3CDTF">2023-06-09T10:03:00Z</dcterms:modified>
</cp:coreProperties>
</file>